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A1E1E2">
      <w:pPr>
        <w:jc w:val="center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知情同意书</w:t>
      </w:r>
    </w:p>
    <w:p w14:paraId="651112D0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尊敬的患者：</w:t>
      </w:r>
    </w:p>
    <w:p w14:paraId="3748B888">
      <w:pPr>
        <w:spacing w:line="360" w:lineRule="auto"/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我们邀请您参加一项“</w:t>
      </w:r>
      <w:r>
        <w:rPr>
          <w:rFonts w:hint="eastAsia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u w:val="single"/>
        </w:rPr>
        <w:t>CCNB2、Sox11及miR-21在子宫内膜癌病情及预后评估中</w:t>
      </w:r>
      <w:r>
        <w:rPr>
          <w:rFonts w:hint="eastAsia" w:ascii="宋体" w:hAnsi="宋体" w:cs="宋体"/>
          <w:b w:val="0"/>
          <w:bCs w:val="0"/>
          <w:sz w:val="21"/>
          <w:szCs w:val="21"/>
          <w:u w:val="single"/>
          <w:lang w:val="en-US" w:eastAsia="zh-CN"/>
        </w:rPr>
        <w:t>的临床价值</w:t>
      </w:r>
      <w:r>
        <w:rPr>
          <w:rFonts w:hint="eastAsia"/>
          <w:sz w:val="24"/>
          <w:szCs w:val="24"/>
          <w:u w:val="single"/>
        </w:rPr>
        <w:t xml:space="preserve">  </w:t>
      </w:r>
      <w:r>
        <w:rPr>
          <w:rFonts w:hint="eastAsia"/>
          <w:sz w:val="24"/>
          <w:szCs w:val="24"/>
        </w:rPr>
        <w:t>”的临床研究，在您决定是否参加这项研究之前，请仔细阅读以下内容，它可以帮助您了解该项研究以及为什么要进行这项研究，研究的程序和期限，参加研究后可能给您带来的益处、风险和不便。</w:t>
      </w:r>
    </w:p>
    <w:p w14:paraId="582F65C6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以下是本项研究的介绍：</w:t>
      </w:r>
    </w:p>
    <w:p w14:paraId="33A59F7F">
      <w:pPr>
        <w:numPr>
          <w:ilvl w:val="0"/>
          <w:numId w:val="0"/>
        </w:numPr>
        <w:spacing w:line="360" w:lineRule="auto"/>
        <w:ind w:left="720" w:leftChars="0" w:hanging="720" w:firstLineChars="0"/>
        <w:rPr>
          <w:rFonts w:hint="eastAsia"/>
          <w:sz w:val="24"/>
          <w:szCs w:val="24"/>
        </w:rPr>
      </w:pPr>
      <w:r>
        <w:rPr>
          <w:rFonts w:hint="default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一、</w:t>
      </w:r>
      <w:r>
        <w:rPr>
          <w:rFonts w:hint="eastAsia"/>
          <w:sz w:val="24"/>
          <w:szCs w:val="24"/>
        </w:rPr>
        <w:t>研究背景和研究目的（</w:t>
      </w:r>
      <w:r>
        <w:rPr>
          <w:rFonts w:hint="eastAsia"/>
          <w:sz w:val="24"/>
          <w:szCs w:val="24"/>
          <w:lang w:eastAsia="zh-CN"/>
        </w:rPr>
        <w:t>请简述</w:t>
      </w:r>
      <w:r>
        <w:rPr>
          <w:rFonts w:hint="eastAsia"/>
          <w:sz w:val="24"/>
          <w:szCs w:val="24"/>
        </w:rPr>
        <w:t>研究药物/器械的情况、研究背景及其目的意义等）</w:t>
      </w:r>
    </w:p>
    <w:p w14:paraId="1046E3EC">
      <w:pPr>
        <w:widowControl w:val="0"/>
        <w:numPr>
          <w:ilvl w:val="0"/>
          <w:numId w:val="0"/>
        </w:numPr>
        <w:tabs>
          <w:tab w:val="left" w:pos="720"/>
        </w:tabs>
        <w:spacing w:line="360" w:lineRule="auto"/>
        <w:jc w:val="both"/>
        <w:rPr>
          <w:rFonts w:hint="eastAsia"/>
          <w:sz w:val="21"/>
          <w:szCs w:val="21"/>
        </w:rPr>
      </w:pPr>
      <w:r>
        <w:rPr>
          <w:rFonts w:hint="eastAsia" w:ascii="宋体" w:hAnsi="宋体" w:cs="宋体"/>
          <w:color w:val="000000"/>
          <w:kern w:val="0"/>
          <w:sz w:val="21"/>
          <w:szCs w:val="21"/>
          <w:lang w:val="en-US" w:eastAsia="zh-CN"/>
        </w:rPr>
        <w:t>目前关于</w:t>
      </w:r>
      <w:r>
        <w:rPr>
          <w:rFonts w:hint="eastAsia" w:ascii="Times New Roman" w:hAnsi="Times New Roman"/>
          <w:sz w:val="21"/>
          <w:szCs w:val="21"/>
        </w:rPr>
        <w:t>CCNB2、Sox11及miR-21在子宫内膜癌病情及预后评估中的临床价值尚未明确。本研究</w:t>
      </w:r>
      <w:r>
        <w:rPr>
          <w:rFonts w:ascii="Times New Roman" w:hAnsi="Times New Roman"/>
          <w:sz w:val="21"/>
          <w:szCs w:val="21"/>
        </w:rPr>
        <w:t>检测子宫内膜癌</w:t>
      </w:r>
      <w:r>
        <w:rPr>
          <w:rFonts w:hint="eastAsia" w:ascii="Times New Roman" w:hAnsi="Times New Roman"/>
          <w:sz w:val="21"/>
          <w:szCs w:val="21"/>
        </w:rPr>
        <w:t>患者CCNB2、Sox11及miR-21表达，研究CCNB2、Sox11及miR-21在子宫内膜癌病情及预后评估中的临床价值。</w:t>
      </w:r>
    </w:p>
    <w:p w14:paraId="74DCFBC9">
      <w:pPr>
        <w:numPr>
          <w:ilvl w:val="0"/>
          <w:numId w:val="0"/>
        </w:numPr>
        <w:spacing w:line="360" w:lineRule="auto"/>
        <w:ind w:left="720" w:leftChars="0" w:hanging="720" w:firstLineChars="0"/>
        <w:rPr>
          <w:rFonts w:hint="eastAsia"/>
          <w:sz w:val="24"/>
          <w:szCs w:val="24"/>
        </w:rPr>
      </w:pPr>
      <w:r>
        <w:rPr>
          <w:rFonts w:hint="default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二、</w:t>
      </w:r>
      <w:r>
        <w:rPr>
          <w:rFonts w:hint="eastAsia"/>
          <w:sz w:val="24"/>
          <w:szCs w:val="24"/>
        </w:rPr>
        <w:t>具体程序和流程（</w:t>
      </w:r>
      <w:r>
        <w:rPr>
          <w:rFonts w:hint="eastAsia"/>
          <w:sz w:val="24"/>
          <w:szCs w:val="24"/>
          <w:lang w:eastAsia="zh-CN"/>
        </w:rPr>
        <w:t>简述</w:t>
      </w:r>
      <w:r>
        <w:rPr>
          <w:rFonts w:hint="eastAsia"/>
          <w:sz w:val="24"/>
          <w:szCs w:val="24"/>
        </w:rPr>
        <w:t>研究起讫时间和随访时间）</w:t>
      </w:r>
    </w:p>
    <w:p w14:paraId="64A681BC">
      <w:pPr>
        <w:spacing w:line="360" w:lineRule="auto"/>
        <w:jc w:val="left"/>
        <w:rPr>
          <w:rFonts w:hint="eastAsia" w:ascii="宋体" w:hAnsi="宋体"/>
          <w:b w:val="0"/>
          <w:bCs w:val="0"/>
          <w:sz w:val="22"/>
          <w:szCs w:val="22"/>
        </w:rPr>
      </w:pPr>
      <w:r>
        <w:rPr>
          <w:rFonts w:hint="eastAsia" w:ascii="宋体" w:hAnsi="宋体"/>
          <w:b w:val="0"/>
          <w:bCs w:val="0"/>
          <w:sz w:val="22"/>
          <w:szCs w:val="22"/>
        </w:rPr>
        <w:t>(1)20</w:t>
      </w:r>
      <w:r>
        <w:rPr>
          <w:rFonts w:hint="eastAsia" w:ascii="宋体" w:hAnsi="宋体"/>
          <w:b w:val="0"/>
          <w:bCs w:val="0"/>
          <w:sz w:val="22"/>
          <w:szCs w:val="22"/>
          <w:lang w:val="en-US" w:eastAsia="zh-CN"/>
        </w:rPr>
        <w:t>23</w:t>
      </w:r>
      <w:r>
        <w:rPr>
          <w:rFonts w:hint="eastAsia" w:ascii="宋体" w:hAnsi="宋体"/>
          <w:b w:val="0"/>
          <w:bCs w:val="0"/>
          <w:sz w:val="22"/>
          <w:szCs w:val="22"/>
        </w:rPr>
        <w:t>年</w:t>
      </w:r>
      <w:r>
        <w:rPr>
          <w:rFonts w:hint="eastAsia" w:ascii="宋体" w:hAnsi="宋体"/>
          <w:b w:val="0"/>
          <w:bCs w:val="0"/>
          <w:sz w:val="22"/>
          <w:szCs w:val="22"/>
          <w:lang w:val="en-US" w:eastAsia="zh-CN"/>
        </w:rPr>
        <w:t>2</w:t>
      </w:r>
      <w:r>
        <w:rPr>
          <w:rFonts w:hint="eastAsia" w:ascii="宋体" w:hAnsi="宋体"/>
          <w:b w:val="0"/>
          <w:bCs w:val="0"/>
          <w:sz w:val="22"/>
          <w:szCs w:val="22"/>
        </w:rPr>
        <w:t>月-</w:t>
      </w:r>
      <w:r>
        <w:rPr>
          <w:rFonts w:hint="eastAsia" w:ascii="宋体" w:hAnsi="宋体"/>
          <w:b w:val="0"/>
          <w:bCs w:val="0"/>
          <w:sz w:val="22"/>
          <w:szCs w:val="22"/>
          <w:lang w:val="en-US" w:eastAsia="zh-CN"/>
        </w:rPr>
        <w:t>4</w:t>
      </w:r>
      <w:r>
        <w:rPr>
          <w:rFonts w:hint="eastAsia" w:ascii="宋体" w:hAnsi="宋体"/>
          <w:b w:val="0"/>
          <w:bCs w:val="0"/>
          <w:sz w:val="22"/>
          <w:szCs w:val="22"/>
        </w:rPr>
        <w:t>月阅读专业资料，熟悉科研设计的要求及具体流程。</w:t>
      </w:r>
    </w:p>
    <w:p w14:paraId="51D56EBD">
      <w:pPr>
        <w:spacing w:line="360" w:lineRule="auto"/>
        <w:jc w:val="left"/>
        <w:rPr>
          <w:rFonts w:hint="eastAsia" w:ascii="宋体" w:hAnsi="宋体"/>
          <w:b w:val="0"/>
          <w:bCs w:val="0"/>
          <w:sz w:val="22"/>
          <w:szCs w:val="22"/>
        </w:rPr>
      </w:pPr>
      <w:r>
        <w:rPr>
          <w:rFonts w:hint="eastAsia" w:ascii="宋体" w:hAnsi="宋体"/>
          <w:b w:val="0"/>
          <w:bCs w:val="0"/>
          <w:sz w:val="22"/>
          <w:szCs w:val="22"/>
        </w:rPr>
        <w:t>(2)20</w:t>
      </w:r>
      <w:r>
        <w:rPr>
          <w:rFonts w:hint="eastAsia" w:ascii="宋体" w:hAnsi="宋体"/>
          <w:b w:val="0"/>
          <w:bCs w:val="0"/>
          <w:sz w:val="22"/>
          <w:szCs w:val="22"/>
          <w:lang w:val="en-US" w:eastAsia="zh-CN"/>
        </w:rPr>
        <w:t>23</w:t>
      </w:r>
      <w:r>
        <w:rPr>
          <w:rFonts w:hint="eastAsia" w:ascii="宋体" w:hAnsi="宋体"/>
          <w:b w:val="0"/>
          <w:bCs w:val="0"/>
          <w:sz w:val="22"/>
          <w:szCs w:val="22"/>
        </w:rPr>
        <w:t>年</w:t>
      </w:r>
      <w:r>
        <w:rPr>
          <w:rFonts w:hint="eastAsia" w:ascii="宋体" w:hAnsi="宋体"/>
          <w:b w:val="0"/>
          <w:bCs w:val="0"/>
          <w:sz w:val="22"/>
          <w:szCs w:val="22"/>
          <w:lang w:val="en-US" w:eastAsia="zh-CN"/>
        </w:rPr>
        <w:t>5</w:t>
      </w:r>
      <w:r>
        <w:rPr>
          <w:rFonts w:hint="eastAsia" w:ascii="宋体" w:hAnsi="宋体"/>
          <w:b w:val="0"/>
          <w:bCs w:val="0"/>
          <w:sz w:val="22"/>
          <w:szCs w:val="22"/>
        </w:rPr>
        <w:t>月-</w:t>
      </w:r>
      <w:r>
        <w:rPr>
          <w:rFonts w:hint="eastAsia" w:ascii="宋体" w:hAnsi="宋体"/>
          <w:b w:val="0"/>
          <w:bCs w:val="0"/>
          <w:sz w:val="22"/>
          <w:szCs w:val="22"/>
          <w:lang w:val="en-US" w:eastAsia="zh-CN"/>
        </w:rPr>
        <w:t>6</w:t>
      </w:r>
      <w:r>
        <w:rPr>
          <w:rFonts w:hint="eastAsia" w:ascii="宋体" w:hAnsi="宋体"/>
          <w:b w:val="0"/>
          <w:bCs w:val="0"/>
          <w:sz w:val="22"/>
          <w:szCs w:val="22"/>
        </w:rPr>
        <w:t>月研究设计，伦理审查，研究注册</w:t>
      </w:r>
    </w:p>
    <w:p w14:paraId="3403B7DC">
      <w:pPr>
        <w:spacing w:line="360" w:lineRule="auto"/>
        <w:jc w:val="left"/>
        <w:rPr>
          <w:rFonts w:hint="eastAsia" w:ascii="宋体" w:hAnsi="宋体"/>
          <w:b w:val="0"/>
          <w:bCs w:val="0"/>
          <w:sz w:val="22"/>
          <w:szCs w:val="22"/>
        </w:rPr>
      </w:pPr>
      <w:r>
        <w:rPr>
          <w:rFonts w:hint="eastAsia" w:ascii="宋体" w:hAnsi="宋体"/>
          <w:b w:val="0"/>
          <w:bCs w:val="0"/>
          <w:sz w:val="22"/>
          <w:szCs w:val="22"/>
        </w:rPr>
        <w:t>(</w:t>
      </w:r>
      <w:r>
        <w:rPr>
          <w:rFonts w:hint="eastAsia" w:ascii="宋体" w:hAnsi="宋体"/>
          <w:b w:val="0"/>
          <w:bCs w:val="0"/>
          <w:sz w:val="22"/>
          <w:szCs w:val="22"/>
          <w:lang w:val="en-US" w:eastAsia="zh-CN"/>
        </w:rPr>
        <w:t>3</w:t>
      </w:r>
      <w:r>
        <w:rPr>
          <w:rFonts w:hint="eastAsia" w:ascii="宋体" w:hAnsi="宋体"/>
          <w:b w:val="0"/>
          <w:bCs w:val="0"/>
          <w:sz w:val="22"/>
          <w:szCs w:val="22"/>
        </w:rPr>
        <w:t>)20</w:t>
      </w:r>
      <w:r>
        <w:rPr>
          <w:rFonts w:hint="eastAsia" w:ascii="宋体" w:hAnsi="宋体"/>
          <w:b w:val="0"/>
          <w:bCs w:val="0"/>
          <w:sz w:val="22"/>
          <w:szCs w:val="22"/>
          <w:lang w:val="en-US" w:eastAsia="zh-CN"/>
        </w:rPr>
        <w:t>23</w:t>
      </w:r>
      <w:r>
        <w:rPr>
          <w:rFonts w:hint="eastAsia" w:ascii="宋体" w:hAnsi="宋体"/>
          <w:b w:val="0"/>
          <w:bCs w:val="0"/>
          <w:sz w:val="22"/>
          <w:szCs w:val="22"/>
        </w:rPr>
        <w:t>年</w:t>
      </w:r>
      <w:r>
        <w:rPr>
          <w:rFonts w:hint="eastAsia" w:ascii="宋体" w:hAnsi="宋体"/>
          <w:b w:val="0"/>
          <w:bCs w:val="0"/>
          <w:sz w:val="22"/>
          <w:szCs w:val="22"/>
          <w:lang w:val="en-US" w:eastAsia="zh-CN"/>
        </w:rPr>
        <w:t>7</w:t>
      </w:r>
      <w:r>
        <w:rPr>
          <w:rFonts w:hint="eastAsia" w:ascii="宋体" w:hAnsi="宋体"/>
          <w:b w:val="0"/>
          <w:bCs w:val="0"/>
          <w:sz w:val="22"/>
          <w:szCs w:val="22"/>
        </w:rPr>
        <w:t>月-</w:t>
      </w:r>
      <w:r>
        <w:rPr>
          <w:rFonts w:hint="eastAsia" w:ascii="宋体" w:hAnsi="宋体"/>
          <w:b w:val="0"/>
          <w:bCs w:val="0"/>
          <w:sz w:val="22"/>
          <w:szCs w:val="22"/>
          <w:lang w:val="en-US" w:eastAsia="zh-CN"/>
        </w:rPr>
        <w:t>11</w:t>
      </w:r>
      <w:r>
        <w:rPr>
          <w:rFonts w:hint="eastAsia" w:ascii="宋体" w:hAnsi="宋体"/>
          <w:b w:val="0"/>
          <w:bCs w:val="0"/>
          <w:sz w:val="22"/>
          <w:szCs w:val="22"/>
        </w:rPr>
        <w:t>月</w:t>
      </w:r>
      <w:r>
        <w:rPr>
          <w:rFonts w:ascii="Times New Roman" w:hAnsi="Times New Roman"/>
          <w:b w:val="0"/>
          <w:bCs w:val="0"/>
          <w:sz w:val="22"/>
          <w:szCs w:val="22"/>
        </w:rPr>
        <w:t>检测子宫内膜癌</w:t>
      </w:r>
      <w:r>
        <w:rPr>
          <w:rFonts w:hint="eastAsia" w:ascii="Times New Roman" w:hAnsi="Times New Roman"/>
          <w:b w:val="0"/>
          <w:bCs w:val="0"/>
          <w:sz w:val="22"/>
          <w:szCs w:val="22"/>
          <w:lang w:val="en-US" w:eastAsia="zh-CN"/>
        </w:rPr>
        <w:t>患者及对照细胞</w:t>
      </w:r>
      <w:r>
        <w:rPr>
          <w:rFonts w:hint="eastAsia" w:ascii="Times New Roman" w:hAnsi="Times New Roman"/>
          <w:b w:val="0"/>
          <w:bCs w:val="0"/>
          <w:sz w:val="22"/>
          <w:szCs w:val="22"/>
        </w:rPr>
        <w:t>CCNB2、Sox11及miR-21表达</w:t>
      </w:r>
    </w:p>
    <w:p w14:paraId="656E4AA1">
      <w:pPr>
        <w:spacing w:line="360" w:lineRule="auto"/>
        <w:jc w:val="left"/>
        <w:rPr>
          <w:rFonts w:hint="eastAsia" w:ascii="宋体" w:hAnsi="宋体"/>
          <w:b w:val="0"/>
          <w:bCs w:val="0"/>
          <w:sz w:val="22"/>
          <w:szCs w:val="22"/>
        </w:rPr>
      </w:pPr>
      <w:r>
        <w:rPr>
          <w:rFonts w:hint="eastAsia" w:ascii="宋体" w:hAnsi="宋体"/>
          <w:b w:val="0"/>
          <w:bCs w:val="0"/>
          <w:sz w:val="22"/>
          <w:szCs w:val="22"/>
        </w:rPr>
        <w:t>(</w:t>
      </w:r>
      <w:r>
        <w:rPr>
          <w:rFonts w:hint="eastAsia" w:ascii="宋体" w:hAnsi="宋体"/>
          <w:b w:val="0"/>
          <w:bCs w:val="0"/>
          <w:sz w:val="22"/>
          <w:szCs w:val="22"/>
          <w:lang w:val="en-US" w:eastAsia="zh-CN"/>
        </w:rPr>
        <w:t>4</w:t>
      </w:r>
      <w:r>
        <w:rPr>
          <w:rFonts w:hint="eastAsia" w:ascii="宋体" w:hAnsi="宋体"/>
          <w:b w:val="0"/>
          <w:bCs w:val="0"/>
          <w:sz w:val="22"/>
          <w:szCs w:val="22"/>
        </w:rPr>
        <w:t>)20</w:t>
      </w:r>
      <w:r>
        <w:rPr>
          <w:rFonts w:hint="eastAsia" w:ascii="宋体" w:hAnsi="宋体"/>
          <w:b w:val="0"/>
          <w:bCs w:val="0"/>
          <w:sz w:val="22"/>
          <w:szCs w:val="22"/>
          <w:lang w:val="en-US" w:eastAsia="zh-CN"/>
        </w:rPr>
        <w:t>23</w:t>
      </w:r>
      <w:r>
        <w:rPr>
          <w:rFonts w:hint="eastAsia" w:ascii="宋体" w:hAnsi="宋体"/>
          <w:b w:val="0"/>
          <w:bCs w:val="0"/>
          <w:sz w:val="22"/>
          <w:szCs w:val="22"/>
        </w:rPr>
        <w:t>年</w:t>
      </w:r>
      <w:r>
        <w:rPr>
          <w:rFonts w:hint="eastAsia" w:ascii="宋体" w:hAnsi="宋体"/>
          <w:b w:val="0"/>
          <w:bCs w:val="0"/>
          <w:sz w:val="22"/>
          <w:szCs w:val="22"/>
          <w:lang w:val="en-US" w:eastAsia="zh-CN"/>
        </w:rPr>
        <w:t>12</w:t>
      </w:r>
      <w:r>
        <w:rPr>
          <w:rFonts w:hint="eastAsia" w:ascii="宋体" w:hAnsi="宋体"/>
          <w:b w:val="0"/>
          <w:bCs w:val="0"/>
          <w:sz w:val="22"/>
          <w:szCs w:val="22"/>
        </w:rPr>
        <w:t>月</w:t>
      </w:r>
      <w:r>
        <w:rPr>
          <w:rFonts w:hint="eastAsia" w:ascii="宋体" w:hAnsi="宋体"/>
          <w:b w:val="0"/>
          <w:bCs w:val="0"/>
          <w:sz w:val="22"/>
          <w:szCs w:val="22"/>
          <w:lang w:val="en-US" w:eastAsia="zh-CN"/>
        </w:rPr>
        <w:t xml:space="preserve"> </w:t>
      </w:r>
      <w:r>
        <w:rPr>
          <w:rFonts w:hint="eastAsia"/>
          <w:b w:val="0"/>
          <w:bCs w:val="0"/>
          <w:sz w:val="22"/>
          <w:szCs w:val="22"/>
        </w:rPr>
        <w:t>汇总分析实验结果，</w:t>
      </w:r>
      <w:r>
        <w:rPr>
          <w:rFonts w:hint="eastAsia"/>
          <w:b w:val="0"/>
          <w:bCs w:val="0"/>
          <w:sz w:val="22"/>
          <w:szCs w:val="22"/>
          <w:lang w:val="en-US" w:eastAsia="zh-CN"/>
        </w:rPr>
        <w:t>完成</w:t>
      </w:r>
      <w:r>
        <w:rPr>
          <w:rFonts w:hint="eastAsia"/>
          <w:b w:val="0"/>
          <w:bCs w:val="0"/>
          <w:sz w:val="22"/>
          <w:szCs w:val="22"/>
        </w:rPr>
        <w:t>临床随访</w:t>
      </w:r>
      <w:r>
        <w:rPr>
          <w:rFonts w:hint="eastAsia" w:ascii="宋体" w:hAnsi="宋体"/>
          <w:b w:val="0"/>
          <w:bCs w:val="0"/>
          <w:sz w:val="22"/>
          <w:szCs w:val="22"/>
          <w:lang w:eastAsia="zh-CN"/>
        </w:rPr>
        <w:t>，</w:t>
      </w:r>
      <w:r>
        <w:rPr>
          <w:rFonts w:hint="eastAsia" w:ascii="宋体" w:hAnsi="宋体"/>
          <w:b w:val="0"/>
          <w:bCs w:val="0"/>
          <w:sz w:val="22"/>
          <w:szCs w:val="22"/>
          <w:lang w:val="en-US" w:eastAsia="zh-CN"/>
        </w:rPr>
        <w:t>收集患者临床资料</w:t>
      </w:r>
    </w:p>
    <w:p w14:paraId="0B86F11B">
      <w:pPr>
        <w:spacing w:line="360" w:lineRule="auto"/>
        <w:jc w:val="left"/>
        <w:rPr>
          <w:rFonts w:hint="eastAsia" w:ascii="宋体" w:hAnsi="宋体"/>
          <w:b w:val="0"/>
          <w:bCs w:val="0"/>
          <w:sz w:val="22"/>
          <w:szCs w:val="22"/>
        </w:rPr>
      </w:pPr>
      <w:r>
        <w:rPr>
          <w:rFonts w:hint="eastAsia" w:ascii="宋体" w:hAnsi="宋体"/>
          <w:b w:val="0"/>
          <w:bCs w:val="0"/>
          <w:sz w:val="22"/>
          <w:szCs w:val="22"/>
        </w:rPr>
        <w:t>(</w:t>
      </w:r>
      <w:r>
        <w:rPr>
          <w:rFonts w:hint="eastAsia" w:ascii="宋体" w:hAnsi="宋体"/>
          <w:b w:val="0"/>
          <w:bCs w:val="0"/>
          <w:sz w:val="22"/>
          <w:szCs w:val="22"/>
          <w:lang w:val="en-US" w:eastAsia="zh-CN"/>
        </w:rPr>
        <w:t>5</w:t>
      </w:r>
      <w:r>
        <w:rPr>
          <w:rFonts w:hint="eastAsia" w:ascii="宋体" w:hAnsi="宋体"/>
          <w:b w:val="0"/>
          <w:bCs w:val="0"/>
          <w:sz w:val="22"/>
          <w:szCs w:val="22"/>
        </w:rPr>
        <w:t>)202</w:t>
      </w:r>
      <w:r>
        <w:rPr>
          <w:rFonts w:hint="eastAsia" w:ascii="宋体" w:hAnsi="宋体"/>
          <w:b w:val="0"/>
          <w:bCs w:val="0"/>
          <w:sz w:val="22"/>
          <w:szCs w:val="22"/>
          <w:lang w:val="en-US" w:eastAsia="zh-CN"/>
        </w:rPr>
        <w:t>4</w:t>
      </w:r>
      <w:r>
        <w:rPr>
          <w:rFonts w:hint="eastAsia" w:ascii="宋体" w:hAnsi="宋体"/>
          <w:b w:val="0"/>
          <w:bCs w:val="0"/>
          <w:sz w:val="22"/>
          <w:szCs w:val="22"/>
        </w:rPr>
        <w:t>年</w:t>
      </w:r>
      <w:r>
        <w:rPr>
          <w:rFonts w:hint="eastAsia" w:ascii="宋体" w:hAnsi="宋体"/>
          <w:b w:val="0"/>
          <w:bCs w:val="0"/>
          <w:sz w:val="22"/>
          <w:szCs w:val="22"/>
          <w:lang w:val="en-US" w:eastAsia="zh-CN"/>
        </w:rPr>
        <w:t>1</w:t>
      </w:r>
      <w:r>
        <w:rPr>
          <w:rFonts w:hint="eastAsia" w:ascii="宋体" w:hAnsi="宋体"/>
          <w:b w:val="0"/>
          <w:bCs w:val="0"/>
          <w:sz w:val="22"/>
          <w:szCs w:val="22"/>
        </w:rPr>
        <w:t>月数据清理与数据库锁定</w:t>
      </w:r>
      <w:r>
        <w:rPr>
          <w:rFonts w:hint="eastAsia" w:ascii="宋体" w:hAnsi="宋体"/>
          <w:b w:val="0"/>
          <w:bCs w:val="0"/>
          <w:sz w:val="22"/>
          <w:szCs w:val="22"/>
          <w:lang w:eastAsia="zh-CN"/>
        </w:rPr>
        <w:t>，</w:t>
      </w:r>
      <w:r>
        <w:rPr>
          <w:rFonts w:hint="eastAsia" w:ascii="宋体" w:hAnsi="宋体"/>
          <w:b w:val="0"/>
          <w:bCs w:val="0"/>
          <w:sz w:val="22"/>
          <w:szCs w:val="22"/>
        </w:rPr>
        <w:t>汇总分析结果。</w:t>
      </w:r>
    </w:p>
    <w:p w14:paraId="77E51524">
      <w:pPr>
        <w:widowControl w:val="0"/>
        <w:numPr>
          <w:ilvl w:val="0"/>
          <w:numId w:val="0"/>
        </w:numPr>
        <w:tabs>
          <w:tab w:val="left" w:pos="720"/>
        </w:tabs>
        <w:spacing w:line="360" w:lineRule="auto"/>
        <w:jc w:val="both"/>
        <w:rPr>
          <w:rFonts w:hint="eastAsia"/>
          <w:b w:val="0"/>
          <w:bCs w:val="0"/>
          <w:sz w:val="22"/>
          <w:szCs w:val="22"/>
        </w:rPr>
      </w:pPr>
      <w:r>
        <w:rPr>
          <w:rFonts w:hint="eastAsia" w:ascii="宋体" w:hAnsi="宋体"/>
          <w:b w:val="0"/>
          <w:bCs w:val="0"/>
          <w:sz w:val="22"/>
          <w:szCs w:val="22"/>
        </w:rPr>
        <w:t>(</w:t>
      </w:r>
      <w:r>
        <w:rPr>
          <w:rFonts w:hint="eastAsia" w:ascii="宋体" w:hAnsi="宋体"/>
          <w:b w:val="0"/>
          <w:bCs w:val="0"/>
          <w:sz w:val="22"/>
          <w:szCs w:val="22"/>
          <w:lang w:val="en-US" w:eastAsia="zh-CN"/>
        </w:rPr>
        <w:t>7</w:t>
      </w:r>
      <w:r>
        <w:rPr>
          <w:rFonts w:hint="eastAsia" w:ascii="宋体" w:hAnsi="宋体"/>
          <w:b w:val="0"/>
          <w:bCs w:val="0"/>
          <w:sz w:val="22"/>
          <w:szCs w:val="22"/>
        </w:rPr>
        <w:t>)202</w:t>
      </w:r>
      <w:r>
        <w:rPr>
          <w:rFonts w:hint="eastAsia" w:ascii="宋体" w:hAnsi="宋体"/>
          <w:b w:val="0"/>
          <w:bCs w:val="0"/>
          <w:sz w:val="22"/>
          <w:szCs w:val="22"/>
          <w:lang w:val="en-US" w:eastAsia="zh-CN"/>
        </w:rPr>
        <w:t>4</w:t>
      </w:r>
      <w:r>
        <w:rPr>
          <w:rFonts w:hint="eastAsia" w:ascii="宋体" w:hAnsi="宋体"/>
          <w:b w:val="0"/>
          <w:bCs w:val="0"/>
          <w:sz w:val="22"/>
          <w:szCs w:val="22"/>
        </w:rPr>
        <w:t>年</w:t>
      </w:r>
      <w:r>
        <w:rPr>
          <w:rFonts w:hint="eastAsia" w:ascii="宋体" w:hAnsi="宋体"/>
          <w:b w:val="0"/>
          <w:bCs w:val="0"/>
          <w:sz w:val="22"/>
          <w:szCs w:val="22"/>
          <w:lang w:val="en-US" w:eastAsia="zh-CN"/>
        </w:rPr>
        <w:t>2月-3</w:t>
      </w:r>
      <w:r>
        <w:rPr>
          <w:rFonts w:hint="eastAsia" w:ascii="宋体" w:hAnsi="宋体"/>
          <w:b w:val="0"/>
          <w:bCs w:val="0"/>
          <w:sz w:val="22"/>
          <w:szCs w:val="22"/>
        </w:rPr>
        <w:t>月</w:t>
      </w:r>
      <w:r>
        <w:rPr>
          <w:rFonts w:hint="eastAsia"/>
          <w:b w:val="0"/>
          <w:bCs w:val="0"/>
          <w:color w:val="000000"/>
          <w:sz w:val="22"/>
          <w:szCs w:val="22"/>
        </w:rPr>
        <w:t>统计分析，得出研究结果，撰写论文，</w:t>
      </w:r>
      <w:r>
        <w:rPr>
          <w:rFonts w:hint="eastAsia" w:ascii="宋体" w:hAnsi="宋体" w:cs="宋体"/>
          <w:b w:val="0"/>
          <w:bCs w:val="0"/>
          <w:sz w:val="22"/>
          <w:szCs w:val="22"/>
        </w:rPr>
        <w:t>核心期刊学术论著1篇。</w:t>
      </w:r>
    </w:p>
    <w:p w14:paraId="37993C0D">
      <w:pPr>
        <w:numPr>
          <w:ilvl w:val="0"/>
          <w:numId w:val="0"/>
        </w:numPr>
        <w:spacing w:line="360" w:lineRule="auto"/>
        <w:ind w:left="720" w:leftChars="0" w:hanging="720" w:firstLineChars="0"/>
        <w:rPr>
          <w:rFonts w:hint="eastAsia"/>
          <w:sz w:val="24"/>
          <w:szCs w:val="24"/>
        </w:rPr>
      </w:pPr>
      <w:r>
        <w:rPr>
          <w:rFonts w:hint="default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三、</w:t>
      </w:r>
      <w:r>
        <w:rPr>
          <w:rFonts w:hint="eastAsia"/>
          <w:sz w:val="24"/>
          <w:szCs w:val="24"/>
        </w:rPr>
        <w:t>如果参加研究您需要做什么（</w:t>
      </w:r>
      <w:r>
        <w:rPr>
          <w:rFonts w:hint="eastAsia"/>
          <w:sz w:val="24"/>
          <w:szCs w:val="24"/>
          <w:lang w:eastAsia="zh-CN"/>
        </w:rPr>
        <w:t>简述</w:t>
      </w:r>
      <w:r>
        <w:rPr>
          <w:rFonts w:hint="eastAsia"/>
          <w:sz w:val="24"/>
          <w:szCs w:val="24"/>
        </w:rPr>
        <w:t>需要注意和配合的事项）</w:t>
      </w:r>
    </w:p>
    <w:p w14:paraId="3B3C5842">
      <w:pPr>
        <w:widowControl w:val="0"/>
        <w:numPr>
          <w:ilvl w:val="0"/>
          <w:numId w:val="0"/>
        </w:numPr>
        <w:tabs>
          <w:tab w:val="left" w:pos="720"/>
        </w:tabs>
        <w:spacing w:line="360" w:lineRule="auto"/>
        <w:jc w:val="both"/>
        <w:rPr>
          <w:rFonts w:hint="eastAsia"/>
          <w:sz w:val="24"/>
          <w:szCs w:val="24"/>
        </w:rPr>
      </w:pPr>
      <w:r>
        <w:rPr>
          <w:rFonts w:hint="eastAsia"/>
          <w:sz w:val="21"/>
          <w:szCs w:val="21"/>
          <w:lang w:val="en-US" w:eastAsia="zh-CN"/>
        </w:rPr>
        <w:t>同意选取离体的标本进行检测</w:t>
      </w:r>
    </w:p>
    <w:p w14:paraId="097C27EB">
      <w:pPr>
        <w:numPr>
          <w:ilvl w:val="0"/>
          <w:numId w:val="0"/>
        </w:numPr>
        <w:spacing w:line="360" w:lineRule="auto"/>
        <w:ind w:left="720" w:leftChars="0" w:hanging="720" w:firstLineChars="0"/>
        <w:rPr>
          <w:rFonts w:hint="eastAsia"/>
          <w:sz w:val="24"/>
          <w:szCs w:val="24"/>
        </w:rPr>
      </w:pPr>
      <w:r>
        <w:rPr>
          <w:rFonts w:hint="default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四、</w:t>
      </w:r>
      <w:r>
        <w:rPr>
          <w:rFonts w:hint="eastAsia"/>
          <w:sz w:val="24"/>
          <w:szCs w:val="24"/>
        </w:rPr>
        <w:t>参加本研究可能给您带来的受益</w:t>
      </w:r>
    </w:p>
    <w:p w14:paraId="2F979DDE">
      <w:pPr>
        <w:widowControl w:val="0"/>
        <w:numPr>
          <w:ilvl w:val="0"/>
          <w:numId w:val="0"/>
        </w:numPr>
        <w:tabs>
          <w:tab w:val="left" w:pos="720"/>
        </w:tabs>
        <w:spacing w:line="360" w:lineRule="auto"/>
        <w:jc w:val="both"/>
        <w:rPr>
          <w:rFonts w:hint="eastAsia"/>
          <w:sz w:val="24"/>
          <w:szCs w:val="24"/>
        </w:rPr>
      </w:pPr>
      <w:r>
        <w:rPr>
          <w:rFonts w:hint="eastAsia" w:ascii="Times New Roman" w:hAnsi="Times New Roman"/>
          <w:szCs w:val="21"/>
          <w:lang w:val="en-US" w:eastAsia="zh-CN"/>
        </w:rPr>
        <w:t>为</w:t>
      </w:r>
      <w:r>
        <w:rPr>
          <w:rFonts w:hint="eastAsia" w:ascii="Times New Roman" w:hAnsi="Times New Roman"/>
          <w:szCs w:val="21"/>
        </w:rPr>
        <w:t>子宫内膜癌病情及预后评估</w:t>
      </w:r>
      <w:r>
        <w:rPr>
          <w:rFonts w:hint="eastAsia" w:ascii="Times New Roman" w:hAnsi="Times New Roman"/>
          <w:szCs w:val="21"/>
          <w:lang w:val="en-US" w:eastAsia="zh-CN"/>
        </w:rPr>
        <w:t>提供</w:t>
      </w:r>
      <w:r>
        <w:rPr>
          <w:rFonts w:hint="eastAsia" w:ascii="Times New Roman" w:hAnsi="Times New Roman"/>
          <w:szCs w:val="21"/>
        </w:rPr>
        <w:t>临床价值</w:t>
      </w:r>
    </w:p>
    <w:p w14:paraId="792FC98A">
      <w:pPr>
        <w:numPr>
          <w:ilvl w:val="0"/>
          <w:numId w:val="0"/>
        </w:numPr>
        <w:spacing w:line="360" w:lineRule="auto"/>
        <w:ind w:left="720" w:leftChars="0" w:hanging="720" w:firstLineChars="0"/>
        <w:rPr>
          <w:rFonts w:hint="eastAsia"/>
          <w:sz w:val="24"/>
          <w:szCs w:val="24"/>
        </w:rPr>
      </w:pPr>
      <w:r>
        <w:rPr>
          <w:rFonts w:hint="default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五、</w:t>
      </w:r>
      <w:r>
        <w:rPr>
          <w:rFonts w:hint="eastAsia"/>
          <w:sz w:val="24"/>
          <w:szCs w:val="24"/>
        </w:rPr>
        <w:t>参加本研究可能发生的不良反应、风险以及风险防范措施</w:t>
      </w:r>
    </w:p>
    <w:p w14:paraId="38989C73">
      <w:pPr>
        <w:spacing w:line="360" w:lineRule="auto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（</w:t>
      </w:r>
      <w:r>
        <w:rPr>
          <w:rFonts w:hint="eastAsia"/>
          <w:sz w:val="24"/>
          <w:szCs w:val="24"/>
        </w:rPr>
        <w:t>描述本研究方案可能产生的副作用、危险性及一旦发生危险或紧急状况时的处理方法和联系人、联络方式；预防风险的措施；产生与研究相关的损害的补偿措施：保险等</w:t>
      </w:r>
      <w:r>
        <w:rPr>
          <w:rFonts w:hint="eastAsia"/>
          <w:sz w:val="24"/>
          <w:szCs w:val="24"/>
          <w:lang w:eastAsia="zh-CN"/>
        </w:rPr>
        <w:t>）</w:t>
      </w:r>
    </w:p>
    <w:p w14:paraId="1B385736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该实验系体外试剂检测</w:t>
      </w:r>
    </w:p>
    <w:p w14:paraId="73787A6B">
      <w:pPr>
        <w:numPr>
          <w:ilvl w:val="0"/>
          <w:numId w:val="0"/>
        </w:numPr>
        <w:spacing w:line="360" w:lineRule="auto"/>
        <w:ind w:left="720" w:leftChars="0" w:hanging="720" w:firstLineChars="0"/>
        <w:rPr>
          <w:rFonts w:hint="eastAsia"/>
          <w:sz w:val="24"/>
          <w:szCs w:val="24"/>
        </w:rPr>
      </w:pPr>
      <w:r>
        <w:rPr>
          <w:rFonts w:hint="default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六、</w:t>
      </w:r>
      <w:r>
        <w:rPr>
          <w:rFonts w:hint="eastAsia"/>
          <w:sz w:val="24"/>
          <w:szCs w:val="24"/>
        </w:rPr>
        <w:t>费用情况说明（因研究为目的而进行的程序，受试者是否需支付其他额外费用）</w:t>
      </w:r>
    </w:p>
    <w:p w14:paraId="10DE3882">
      <w:pPr>
        <w:widowControl w:val="0"/>
        <w:numPr>
          <w:ilvl w:val="0"/>
          <w:numId w:val="0"/>
        </w:numPr>
        <w:tabs>
          <w:tab w:val="left" w:pos="720"/>
        </w:tabs>
        <w:spacing w:line="360" w:lineRule="auto"/>
        <w:jc w:val="both"/>
        <w:rPr>
          <w:rFonts w:hint="eastAsia" w:eastAsia="宋体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无额外费用产生。</w:t>
      </w:r>
    </w:p>
    <w:p w14:paraId="5DF519F3">
      <w:pPr>
        <w:numPr>
          <w:ilvl w:val="0"/>
          <w:numId w:val="0"/>
        </w:numPr>
        <w:spacing w:line="360" w:lineRule="auto"/>
        <w:ind w:left="720" w:leftChars="0" w:hanging="720" w:firstLineChars="0"/>
        <w:rPr>
          <w:rFonts w:hint="eastAsia"/>
          <w:sz w:val="24"/>
          <w:szCs w:val="24"/>
        </w:rPr>
      </w:pPr>
      <w:r>
        <w:rPr>
          <w:rFonts w:hint="default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七、</w:t>
      </w:r>
      <w:r>
        <w:rPr>
          <w:rFonts w:hint="eastAsia"/>
          <w:sz w:val="24"/>
          <w:szCs w:val="24"/>
        </w:rPr>
        <w:t>替代方案（如果不参加本研究，是否存在替代方案）</w:t>
      </w:r>
    </w:p>
    <w:p w14:paraId="7D593684">
      <w:pPr>
        <w:widowControl w:val="0"/>
        <w:numPr>
          <w:ilvl w:val="0"/>
          <w:numId w:val="0"/>
        </w:numPr>
        <w:tabs>
          <w:tab w:val="left" w:pos="720"/>
        </w:tabs>
        <w:spacing w:line="360" w:lineRule="auto"/>
        <w:jc w:val="both"/>
        <w:rPr>
          <w:rFonts w:hint="eastAsia" w:eastAsia="宋体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val="en-US" w:eastAsia="zh-CN"/>
        </w:rPr>
        <w:t>无需替代方案</w:t>
      </w:r>
    </w:p>
    <w:p w14:paraId="29CE825B">
      <w:pPr>
        <w:numPr>
          <w:ilvl w:val="0"/>
          <w:numId w:val="0"/>
        </w:numPr>
        <w:spacing w:line="360" w:lineRule="auto"/>
        <w:ind w:left="720" w:leftChars="0" w:hanging="720" w:firstLineChars="0"/>
        <w:rPr>
          <w:rFonts w:hint="eastAsia"/>
          <w:sz w:val="24"/>
          <w:szCs w:val="24"/>
        </w:rPr>
      </w:pPr>
      <w:r>
        <w:rPr>
          <w:rFonts w:hint="default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八、</w:t>
      </w:r>
      <w:r>
        <w:rPr>
          <w:rFonts w:hint="eastAsia"/>
          <w:sz w:val="24"/>
          <w:szCs w:val="24"/>
        </w:rPr>
        <w:t>您个人信息的保密</w:t>
      </w:r>
    </w:p>
    <w:p w14:paraId="4665D460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您的医疗记录（包括研究病历及理化检查报告等）将按规定保存在医院。除研究者、伦理委员会、检查、稽查、药政管理部门等相关人员将被允许查阅您的医疗记录外，其他与研究无关的人员在未得到允许的情况下，无权查阅您的医疗记录。本研究结果的公开报告将不会披露您的个人身份。我们将在法律规定的范围内，尽一切努力保护您个人医疗资料的隐私。</w:t>
      </w:r>
    </w:p>
    <w:p w14:paraId="059163B1">
      <w:pPr>
        <w:numPr>
          <w:ilvl w:val="0"/>
          <w:numId w:val="0"/>
        </w:numPr>
        <w:spacing w:line="360" w:lineRule="auto"/>
        <w:ind w:left="720" w:leftChars="0" w:hanging="720" w:firstLineChars="0"/>
        <w:rPr>
          <w:rFonts w:hint="eastAsia"/>
          <w:sz w:val="24"/>
          <w:szCs w:val="24"/>
        </w:rPr>
      </w:pPr>
      <w:r>
        <w:rPr>
          <w:rFonts w:hint="default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九、</w:t>
      </w:r>
      <w:r>
        <w:rPr>
          <w:rFonts w:hint="eastAsia"/>
          <w:sz w:val="24"/>
          <w:szCs w:val="24"/>
        </w:rPr>
        <w:t>终止参加研究</w:t>
      </w:r>
    </w:p>
    <w:p w14:paraId="1E2E73F1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是否终止参加本项研究完全取决于您的自愿。您可以拒绝参加此项研究，或在研究过程中的任何时间无理由退出研究，这都不会影响您和医生的关系，都不会影响对您的医疗或有其他方面利益的损失。此外，由于以下原因，可能会终止您参与本研究：</w:t>
      </w:r>
    </w:p>
    <w:p w14:paraId="7C0324D5">
      <w:pPr>
        <w:numPr>
          <w:ilvl w:val="0"/>
          <w:numId w:val="1"/>
        </w:num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您未遵从研究医生的医嘱</w:t>
      </w:r>
    </w:p>
    <w:p w14:paraId="35601830">
      <w:pPr>
        <w:numPr>
          <w:ilvl w:val="0"/>
          <w:numId w:val="1"/>
        </w:num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您发生了可能需要治疗的严重情况</w:t>
      </w:r>
    </w:p>
    <w:p w14:paraId="5269E9F0">
      <w:pPr>
        <w:numPr>
          <w:ilvl w:val="0"/>
          <w:numId w:val="1"/>
        </w:num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研究医生认为，终止研究对您的健康和福利最有利。</w:t>
      </w:r>
    </w:p>
    <w:p w14:paraId="19F29E18">
      <w:pPr>
        <w:spacing w:line="360" w:lineRule="auto"/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我确定已经阅读并理解了本研究的知情同意书，自愿参加本项研究项目，在不暴露我的个人信息和隐私的基础上，同意将我的医疗数据用于本研究的发表。</w:t>
      </w:r>
    </w:p>
    <w:p w14:paraId="473DDE18">
      <w:pPr>
        <w:spacing w:line="360" w:lineRule="auto"/>
        <w:rPr>
          <w:rFonts w:hint="eastAsia"/>
          <w:sz w:val="24"/>
          <w:szCs w:val="24"/>
          <w:u w:val="single"/>
        </w:rPr>
      </w:pPr>
      <w:r>
        <w:rPr>
          <w:rFonts w:hint="eastAsia"/>
          <w:sz w:val="24"/>
          <w:szCs w:val="24"/>
        </w:rPr>
        <w:t>受试者签名 ：</w:t>
      </w:r>
      <w:r>
        <w:rPr>
          <w:rFonts w:hint="eastAsia"/>
          <w:sz w:val="24"/>
          <w:szCs w:val="24"/>
          <w:u w:val="single"/>
        </w:rPr>
        <w:t xml:space="preserve">         </w:t>
      </w:r>
      <w:r>
        <w:rPr>
          <w:rFonts w:hint="eastAsia"/>
          <w:sz w:val="24"/>
          <w:szCs w:val="24"/>
        </w:rPr>
        <w:t>联系方式：</w:t>
      </w:r>
      <w:r>
        <w:rPr>
          <w:rFonts w:hint="eastAsia"/>
          <w:sz w:val="24"/>
          <w:szCs w:val="24"/>
          <w:u w:val="single"/>
        </w:rPr>
        <w:t xml:space="preserve">            </w:t>
      </w:r>
      <w:r>
        <w:rPr>
          <w:rFonts w:hint="eastAsia"/>
          <w:sz w:val="24"/>
          <w:szCs w:val="24"/>
        </w:rPr>
        <w:t>日期：</w:t>
      </w:r>
      <w:r>
        <w:rPr>
          <w:rFonts w:hint="eastAsia"/>
          <w:sz w:val="24"/>
          <w:szCs w:val="24"/>
          <w:u w:val="single"/>
        </w:rPr>
        <w:t xml:space="preserve">            </w:t>
      </w:r>
    </w:p>
    <w:p w14:paraId="1136682E">
      <w:pPr>
        <w:spacing w:line="360" w:lineRule="auto"/>
        <w:rPr>
          <w:rFonts w:hint="eastAsia"/>
          <w:sz w:val="24"/>
          <w:szCs w:val="24"/>
          <w:u w:val="single"/>
        </w:rPr>
      </w:pPr>
      <w:r>
        <w:rPr>
          <w:rFonts w:hint="eastAsia"/>
          <w:sz w:val="24"/>
          <w:szCs w:val="24"/>
        </w:rPr>
        <w:t>受试者的合法代表人：</w:t>
      </w:r>
      <w:r>
        <w:rPr>
          <w:rFonts w:hint="eastAsia"/>
          <w:sz w:val="24"/>
          <w:szCs w:val="24"/>
          <w:u w:val="single"/>
        </w:rPr>
        <w:t xml:space="preserve">           </w:t>
      </w:r>
      <w:r>
        <w:rPr>
          <w:rFonts w:hint="eastAsia"/>
          <w:sz w:val="24"/>
          <w:szCs w:val="24"/>
        </w:rPr>
        <w:t>联系方式：</w:t>
      </w:r>
      <w:r>
        <w:rPr>
          <w:rFonts w:hint="eastAsia"/>
          <w:sz w:val="24"/>
          <w:szCs w:val="24"/>
          <w:u w:val="single"/>
        </w:rPr>
        <w:t xml:space="preserve">      </w:t>
      </w:r>
      <w:r>
        <w:rPr>
          <w:rFonts w:hint="eastAsia"/>
          <w:sz w:val="24"/>
          <w:szCs w:val="24"/>
        </w:rPr>
        <w:t xml:space="preserve"> 日期  </w:t>
      </w:r>
      <w:r>
        <w:rPr>
          <w:rFonts w:hint="eastAsia"/>
          <w:sz w:val="24"/>
          <w:szCs w:val="24"/>
          <w:u w:val="single"/>
        </w:rPr>
        <w:t xml:space="preserve">       </w:t>
      </w:r>
    </w:p>
    <w:p w14:paraId="13BD2172">
      <w:pPr>
        <w:spacing w:line="360" w:lineRule="auto"/>
        <w:rPr>
          <w:rFonts w:hint="eastAsia"/>
          <w:sz w:val="24"/>
          <w:szCs w:val="24"/>
          <w:u w:val="single"/>
        </w:rPr>
      </w:pPr>
      <w:r>
        <w:rPr>
          <w:rFonts w:hint="eastAsia"/>
          <w:sz w:val="24"/>
          <w:szCs w:val="24"/>
        </w:rPr>
        <w:t>见证人（如果需要）：</w:t>
      </w:r>
      <w:r>
        <w:rPr>
          <w:rFonts w:hint="eastAsia"/>
          <w:sz w:val="24"/>
          <w:szCs w:val="24"/>
          <w:u w:val="single"/>
        </w:rPr>
        <w:t xml:space="preserve">     </w:t>
      </w:r>
      <w:r>
        <w:rPr>
          <w:rFonts w:hint="eastAsia"/>
          <w:sz w:val="24"/>
          <w:szCs w:val="24"/>
        </w:rPr>
        <w:t>联系方式：</w:t>
      </w:r>
      <w:r>
        <w:rPr>
          <w:rFonts w:hint="eastAsia"/>
          <w:sz w:val="24"/>
          <w:szCs w:val="24"/>
          <w:u w:val="single"/>
        </w:rPr>
        <w:t xml:space="preserve">            </w:t>
      </w:r>
      <w:r>
        <w:rPr>
          <w:rFonts w:hint="eastAsia"/>
          <w:sz w:val="24"/>
          <w:szCs w:val="24"/>
        </w:rPr>
        <w:t>日期：</w:t>
      </w:r>
      <w:r>
        <w:rPr>
          <w:rFonts w:hint="eastAsia"/>
          <w:sz w:val="24"/>
          <w:szCs w:val="24"/>
          <w:u w:val="single"/>
        </w:rPr>
        <w:t xml:space="preserve">          </w:t>
      </w:r>
    </w:p>
    <w:p w14:paraId="3782A68B">
      <w:pPr>
        <w:spacing w:line="360" w:lineRule="auto"/>
        <w:rPr>
          <w:rFonts w:hint="eastAsia"/>
          <w:sz w:val="24"/>
          <w:szCs w:val="24"/>
          <w:u w:val="single"/>
        </w:rPr>
      </w:pPr>
    </w:p>
    <w:p w14:paraId="1988CF14">
      <w:pPr>
        <w:spacing w:line="360" w:lineRule="auto"/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我确认已向患者解释了本研究的详细情况，包括其权利以及可能的受益和风险，并给其一份签署过的知情同意书副本。</w:t>
      </w:r>
    </w:p>
    <w:p w14:paraId="30766A29">
      <w:pPr>
        <w:spacing w:line="360" w:lineRule="auto"/>
        <w:rPr>
          <w:rFonts w:hint="eastAsia"/>
          <w:sz w:val="24"/>
          <w:szCs w:val="24"/>
        </w:rPr>
      </w:pPr>
    </w:p>
    <w:p w14:paraId="38C9CB52">
      <w:pPr>
        <w:spacing w:line="360" w:lineRule="auto"/>
        <w:rPr>
          <w:rFonts w:hint="default" w:eastAsia="宋体"/>
          <w:u w:val="single"/>
          <w:lang w:val="en-US" w:eastAsia="zh-CN"/>
        </w:rPr>
      </w:pPr>
      <w:r>
        <w:rPr>
          <w:rFonts w:hint="eastAsia"/>
          <w:sz w:val="24"/>
          <w:szCs w:val="24"/>
        </w:rPr>
        <w:t>研究者签名：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</w:t>
      </w:r>
      <w:r>
        <w:rPr>
          <w:rFonts w:hint="eastAsia"/>
          <w:sz w:val="24"/>
          <w:szCs w:val="24"/>
        </w:rPr>
        <w:t>联系方式：</w:t>
      </w:r>
      <w:r>
        <w:rPr>
          <w:rFonts w:hint="eastAsia"/>
          <w:sz w:val="24"/>
          <w:szCs w:val="24"/>
          <w:u w:val="single"/>
        </w:rPr>
        <w:t xml:space="preserve">            </w:t>
      </w:r>
      <w:r>
        <w:rPr>
          <w:rFonts w:hint="eastAsia"/>
          <w:sz w:val="24"/>
          <w:szCs w:val="24"/>
        </w:rPr>
        <w:t xml:space="preserve">  日期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</w:t>
      </w:r>
    </w:p>
    <w:p w14:paraId="2D29FCCD">
      <w:pPr>
        <w:spacing w:line="360" w:lineRule="auto"/>
        <w:jc w:val="center"/>
        <w:rPr>
          <w:rFonts w:hint="eastAsia" w:ascii="宋体" w:hAnsi="宋体" w:eastAsia="宋体" w:cs="仿宋_GB2312"/>
          <w:b/>
          <w:bCs/>
          <w:sz w:val="32"/>
          <w:szCs w:val="32"/>
        </w:rPr>
      </w:pPr>
    </w:p>
    <w:p w14:paraId="783C2725">
      <w:pPr>
        <w:jc w:val="center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</w:p>
    <w:p w14:paraId="101753F1">
      <w:bookmarkStart w:id="0" w:name="_GoBack"/>
      <w:bookmarkEnd w:id="0"/>
    </w:p>
    <w:sectPr>
      <w:footerReference r:id="rId3" w:type="default"/>
      <w:pgSz w:w="11906" w:h="16838"/>
      <w:pgMar w:top="1440" w:right="1466" w:bottom="1440" w:left="1800" w:header="851" w:footer="992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6FD193">
    <w:pPr>
      <w:pStyle w:val="3"/>
      <w:tabs>
        <w:tab w:val="right" w:pos="9180"/>
        <w:tab w:val="clear" w:pos="8306"/>
      </w:tabs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3320775"/>
    <w:multiLevelType w:val="multilevel"/>
    <w:tmpl w:val="43320775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IzZTA5ZGVjNWUwOWZlYTJjN2Q1ZDc2MDIyMWFjMGIifQ=="/>
  </w:docVars>
  <w:rsids>
    <w:rsidRoot w:val="09E31219"/>
    <w:rsid w:val="03456EF2"/>
    <w:rsid w:val="09E31219"/>
    <w:rsid w:val="18E92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uiPriority w:val="0"/>
    <w:pPr>
      <w:ind w:firstLine="420" w:firstLineChars="200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1227</Words>
  <Characters>1334</Characters>
  <Lines>0</Lines>
  <Paragraphs>0</Paragraphs>
  <TotalTime>1</TotalTime>
  <ScaleCrop>false</ScaleCrop>
  <LinksUpToDate>false</LinksUpToDate>
  <CharactersWithSpaces>1467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2023-10-10T07:12:00Z</dcterms:created>
  <dc:creator>呢喃</dc:creator>
  <cp:lastModifiedBy>Administrator</cp:lastModifiedBy>
  <dcterms:modified xsi:type="dcterms:W3CDTF">2025-04-15T08:38:15Z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FE7003AB7420427BB39261ACA78AB94C_11</vt:lpwstr>
  </property>
  <property fmtid="{D5CDD505-2E9C-101B-9397-08002B2CF9AE}" pid="4" name="KSOTemplateDocerSaveRecord">
    <vt:lpwstr>eyJoZGlkIjoiNjIzZTA5ZGVjNWUwOWZlYTJjN2Q1ZDc2MDIyMWFjMGIifQ==</vt:lpwstr>
  </property>
</Properties>
</file>